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adjustRightInd w:val="0"/>
        <w:spacing w:line="240" w:lineRule="auto"/>
        <w:ind w:firstLine="900" w:firstLineChars="250"/>
        <w:jc w:val="left"/>
        <w:rPr>
          <w:rFonts w:ascii="方正小标宋简体" w:hAnsi="仿宋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宋体"/>
          <w:kern w:val="0"/>
          <w:sz w:val="36"/>
          <w:szCs w:val="36"/>
          <w:lang w:eastAsia="zh-CN"/>
        </w:rPr>
        <w:t>2018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年度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  <w:lang w:eastAsia="zh-CN"/>
        </w:rPr>
        <w:t>沙县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本级</w:t>
      </w:r>
      <w:r>
        <w:rPr>
          <w:rFonts w:ascii="方正小标宋简体" w:hAnsi="仿宋" w:eastAsia="方正小标宋简体" w:cs="宋体"/>
          <w:kern w:val="0"/>
          <w:sz w:val="36"/>
          <w:szCs w:val="36"/>
        </w:rPr>
        <w:t>“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三公</w:t>
      </w:r>
      <w:r>
        <w:rPr>
          <w:rFonts w:ascii="方正小标宋简体" w:hAnsi="仿宋" w:eastAsia="方正小标宋简体" w:cs="宋体"/>
          <w:kern w:val="0"/>
          <w:sz w:val="36"/>
          <w:szCs w:val="36"/>
        </w:rPr>
        <w:t>”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经费决算支出情况</w:t>
      </w:r>
    </w:p>
    <w:p>
      <w:pPr>
        <w:tabs>
          <w:tab w:val="left" w:pos="7513"/>
        </w:tabs>
        <w:adjustRightInd w:val="0"/>
        <w:snapToGrid w:val="0"/>
        <w:spacing w:line="240" w:lineRule="auto"/>
        <w:ind w:firstLine="616" w:firstLineChars="220"/>
        <w:rPr>
          <w:rFonts w:hint="eastAsia" w:ascii="仿宋" w:hAnsi="宋体" w:eastAsia="仿宋" w:cs="仿宋_GB2312"/>
          <w:kern w:val="0"/>
          <w:sz w:val="28"/>
          <w:szCs w:val="28"/>
        </w:rPr>
      </w:pPr>
      <w:r>
        <w:rPr>
          <w:rFonts w:hint="eastAsia" w:ascii="仿宋" w:hAnsi="宋体" w:eastAsia="仿宋" w:cs="仿宋_GB2312"/>
          <w:kern w:val="0"/>
          <w:sz w:val="28"/>
          <w:szCs w:val="28"/>
        </w:rPr>
        <w:t>经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沙县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财政局汇总，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2018</w:t>
      </w:r>
      <w:r>
        <w:rPr>
          <w:rFonts w:ascii="仿宋" w:hAnsi="宋体" w:eastAsia="仿宋" w:cs="仿宋_GB2312"/>
          <w:kern w:val="0"/>
          <w:sz w:val="28"/>
          <w:szCs w:val="28"/>
        </w:rPr>
        <w:t>年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度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县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本级</w:t>
      </w:r>
      <w:r>
        <w:rPr>
          <w:rFonts w:ascii="仿宋" w:hAnsi="宋体" w:eastAsia="仿宋" w:cs="仿宋_GB2312"/>
          <w:kern w:val="0"/>
          <w:sz w:val="28"/>
          <w:szCs w:val="28"/>
        </w:rPr>
        <w:t>“三公”经费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财政拨款支出736.41万元，比上年决算数减少211.91万元</w:t>
      </w:r>
      <w:r>
        <w:rPr>
          <w:rFonts w:ascii="仿宋" w:hAnsi="宋体" w:eastAsia="仿宋" w:cs="仿宋_GB2312"/>
          <w:kern w:val="0"/>
          <w:sz w:val="28"/>
          <w:szCs w:val="28"/>
        </w:rPr>
        <w:t>。具体情况如下：</w:t>
      </w:r>
      <w:r>
        <w:rPr>
          <w:rFonts w:ascii="仿宋" w:hAnsi="宋体" w:eastAsia="仿宋" w:cs="仿宋_GB2312"/>
          <w:kern w:val="0"/>
          <w:sz w:val="28"/>
          <w:szCs w:val="28"/>
        </w:rPr>
        <w:br/>
      </w:r>
      <w:r>
        <w:rPr>
          <w:rFonts w:hint="eastAsia" w:ascii="仿宋" w:hAnsi="宋体" w:eastAsia="仿宋" w:cs="仿宋_GB2312"/>
          <w:kern w:val="0"/>
          <w:sz w:val="28"/>
          <w:szCs w:val="28"/>
        </w:rPr>
        <w:t>　　（一）因公出国（境）经费26.23万元，与上年决算数相比下降82.15%，主要是：认真贯彻落实中央、省、市、县关于厉行节约的各项要求，严格执行中央八项规定，规范因公出国（境）经费。全年安排本部门组织的出国团组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个，全年因公出国（境）累计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人次。主要是：认真贯彻落实中央、省、市、县关于厉行节约的</w:t>
      </w:r>
      <w:bookmarkStart w:id="0" w:name="_GoBack"/>
      <w:bookmarkEnd w:id="0"/>
      <w:r>
        <w:rPr>
          <w:rFonts w:hint="eastAsia" w:ascii="仿宋" w:hAnsi="宋体" w:eastAsia="仿宋" w:cs="仿宋_GB2312"/>
          <w:kern w:val="0"/>
          <w:sz w:val="28"/>
          <w:szCs w:val="28"/>
        </w:rPr>
        <w:t>各项要求，严格执行中央八项规定，规范因公出国（境）经费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。</w:t>
      </w:r>
    </w:p>
    <w:p>
      <w:pPr>
        <w:tabs>
          <w:tab w:val="left" w:pos="7513"/>
        </w:tabs>
        <w:adjustRightInd w:val="0"/>
        <w:snapToGrid w:val="0"/>
        <w:spacing w:line="240" w:lineRule="auto"/>
        <w:ind w:firstLine="616" w:firstLineChars="220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ascii="仿宋" w:hAnsi="宋体" w:eastAsia="仿宋" w:cs="仿宋_GB2312"/>
          <w:kern w:val="0"/>
          <w:sz w:val="28"/>
          <w:szCs w:val="28"/>
        </w:rPr>
        <w:t>（二）公务用车购置及运行费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支出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345.44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万元，与上年决算数相比下降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19.72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%。</w:t>
      </w:r>
      <w:r>
        <w:rPr>
          <w:rFonts w:ascii="仿宋" w:hAnsi="宋体" w:eastAsia="仿宋" w:cs="仿宋_GB2312"/>
          <w:kern w:val="0"/>
          <w:sz w:val="28"/>
          <w:szCs w:val="28"/>
        </w:rPr>
        <w:t xml:space="preserve"> </w:t>
      </w:r>
    </w:p>
    <w:p>
      <w:pPr>
        <w:tabs>
          <w:tab w:val="left" w:pos="7513"/>
        </w:tabs>
        <w:adjustRightInd w:val="0"/>
        <w:snapToGrid w:val="0"/>
        <w:spacing w:line="240" w:lineRule="auto"/>
        <w:ind w:firstLine="645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hint="eastAsia" w:ascii="仿宋" w:hAnsi="宋体" w:eastAsia="仿宋" w:cs="仿宋_GB2312"/>
          <w:kern w:val="0"/>
          <w:sz w:val="28"/>
          <w:szCs w:val="28"/>
        </w:rPr>
        <w:t>（１）公务用车购置经费44.71万元，与上年决算数相比下降45.90%</w:t>
      </w:r>
      <w:r>
        <w:rPr>
          <w:rFonts w:ascii="仿宋" w:hAnsi="宋体" w:eastAsia="仿宋" w:cs="仿宋_GB2312"/>
          <w:kern w:val="0"/>
          <w:sz w:val="28"/>
          <w:szCs w:val="28"/>
        </w:rPr>
        <w:t>，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新增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2辆车，</w:t>
      </w:r>
      <w:r>
        <w:rPr>
          <w:rFonts w:ascii="仿宋" w:hAnsi="宋体" w:eastAsia="仿宋" w:cs="仿宋_GB2312"/>
          <w:kern w:val="0"/>
          <w:sz w:val="28"/>
          <w:szCs w:val="28"/>
        </w:rPr>
        <w:t>主要是: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 xml:space="preserve"> 车改后，由于使用年限到期等原因，第一次更新公务用车，配备一般执法执勤用车及特种专业技术用车，严格按年初预算控制执行，公务用车购置费有所节约。</w:t>
      </w:r>
    </w:p>
    <w:p>
      <w:pPr>
        <w:tabs>
          <w:tab w:val="left" w:pos="7513"/>
        </w:tabs>
        <w:adjustRightInd w:val="0"/>
        <w:snapToGrid w:val="0"/>
        <w:spacing w:line="240" w:lineRule="auto"/>
        <w:ind w:firstLine="645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hint="eastAsia" w:ascii="仿宋" w:hAnsi="宋体" w:eastAsia="仿宋" w:cs="仿宋_GB2312"/>
          <w:kern w:val="0"/>
          <w:sz w:val="28"/>
          <w:szCs w:val="28"/>
        </w:rPr>
        <w:t>（２）公务用车运行经费300.73万元，与上年决算数相比下降13.49%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年末公务用车保有量为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224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辆。公务用车运行费主要用于公务用车燃油、维修、保险等方面支出，主要是公务用车制度改革后，车辆数减少，留存的公务用车严格控制运行经费支出，有效控制公车运行费用。</w:t>
      </w:r>
    </w:p>
    <w:p>
      <w:pPr>
        <w:tabs>
          <w:tab w:val="left" w:pos="7513"/>
        </w:tabs>
        <w:adjustRightInd w:val="0"/>
        <w:snapToGrid w:val="0"/>
        <w:spacing w:line="240" w:lineRule="auto"/>
        <w:ind w:firstLine="630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hint="eastAsia" w:ascii="仿宋" w:hAnsi="宋体" w:eastAsia="仿宋" w:cs="仿宋_GB2312"/>
          <w:kern w:val="0"/>
          <w:sz w:val="28"/>
          <w:szCs w:val="28"/>
        </w:rPr>
        <w:t>（三）公务接待费364.75万元，与上年决算数相比下降27.58%。累计接待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4247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批次、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40817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人次。主要是按照公务接待管理办法，细化公务招待流程，严格执行“无公函不接待”，公务接待更加严谨规范。</w:t>
      </w:r>
    </w:p>
    <w:p>
      <w:pPr>
        <w:widowControl/>
        <w:adjustRightInd w:val="0"/>
        <w:snapToGrid w:val="0"/>
        <w:spacing w:line="240" w:lineRule="auto"/>
        <w:ind w:firstLine="700" w:firstLineChars="250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hint="eastAsia" w:ascii="仿宋" w:hAnsi="宋体" w:eastAsia="仿宋" w:cs="仿宋_GB2312"/>
          <w:kern w:val="0"/>
          <w:sz w:val="28"/>
          <w:szCs w:val="28"/>
        </w:rPr>
        <w:t>附件：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2018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年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县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本级“三公”经费公共财政拨款支出情况表</w:t>
      </w:r>
    </w:p>
    <w:p>
      <w:pPr>
        <w:widowControl/>
        <w:adjustRightInd w:val="0"/>
        <w:snapToGrid w:val="0"/>
        <w:spacing w:line="240" w:lineRule="auto"/>
        <w:ind w:firstLine="700" w:firstLineChars="250"/>
        <w:rPr>
          <w:rFonts w:ascii="仿宋" w:hAnsi="宋体" w:eastAsia="仿宋" w:cs="仿宋_GB2312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spacing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uiPriority w:val="99"/>
    <w:rPr>
      <w:sz w:val="18"/>
      <w:szCs w:val="18"/>
    </w:rPr>
  </w:style>
  <w:style w:type="character" w:customStyle="1" w:styleId="6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97</Words>
  <Characters>553</Characters>
  <Lines>4</Lines>
  <Paragraphs>1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2020-07-30T08:40:00Z</dcterms:created>
  <dc:creator>null</dc:creator>
  <cp:lastModifiedBy>hsj</cp:lastModifiedBy>
  <cp:lastPrinted>2020-07-23T03:42:00Z</cp:lastPrinted>
  <dcterms:modified xsi:type="dcterms:W3CDTF">2021-06-08T03:01:33Z</dcterms:modified>
  <dc:title>2019年度沙县本级“三公”经费决算支出情况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